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2" o:title="Blue tissue paper" type="tile"/>
    </v:background>
  </w:background>
  <w:body>
    <w:p w:rsidR="00633B08" w:rsidRPr="001633EE" w:rsidRDefault="00FB37B8">
      <w:pPr>
        <w:ind w:left="-720"/>
        <w:jc w:val="center"/>
        <w:rPr>
          <w:b/>
          <w:color w:val="006600"/>
          <w:sz w:val="32"/>
          <w:szCs w:val="32"/>
        </w:rPr>
      </w:pPr>
      <w:r w:rsidRPr="001633EE">
        <w:rPr>
          <w:b/>
          <w:color w:val="006600"/>
          <w:sz w:val="32"/>
          <w:szCs w:val="32"/>
        </w:rPr>
        <w:t>13</w:t>
      </w:r>
      <w:r w:rsidR="00B54F10" w:rsidRPr="001633EE">
        <w:rPr>
          <w:b/>
          <w:color w:val="006600"/>
          <w:sz w:val="32"/>
          <w:szCs w:val="32"/>
          <w:vertAlign w:val="superscript"/>
        </w:rPr>
        <w:t>th</w:t>
      </w:r>
      <w:r w:rsidR="00B54F10" w:rsidRPr="001633EE">
        <w:rPr>
          <w:b/>
          <w:color w:val="006600"/>
          <w:sz w:val="32"/>
          <w:szCs w:val="32"/>
        </w:rPr>
        <w:t xml:space="preserve"> Annual Commemorative Lecture in Mexican American History</w:t>
      </w:r>
    </w:p>
    <w:p w:rsidR="00633B08" w:rsidRPr="001633EE" w:rsidRDefault="00633B08">
      <w:pPr>
        <w:rPr>
          <w:b/>
          <w:color w:val="006600"/>
          <w:sz w:val="32"/>
          <w:szCs w:val="32"/>
        </w:rPr>
      </w:pPr>
    </w:p>
    <w:p w:rsidR="00633B08" w:rsidRPr="001633EE" w:rsidRDefault="00B54F10">
      <w:pPr>
        <w:ind w:left="-720"/>
        <w:jc w:val="center"/>
        <w:rPr>
          <w:rFonts w:ascii="Georgia" w:hAnsi="Georgia"/>
          <w:b/>
          <w:color w:val="C00000"/>
          <w:sz w:val="48"/>
          <w:szCs w:val="48"/>
        </w:rPr>
      </w:pPr>
      <w:r w:rsidRPr="001633EE">
        <w:rPr>
          <w:rFonts w:ascii="Georgia" w:hAnsi="Georgia"/>
          <w:b/>
          <w:color w:val="C00000"/>
          <w:sz w:val="48"/>
          <w:szCs w:val="48"/>
        </w:rPr>
        <w:t>“</w:t>
      </w:r>
      <w:r w:rsidR="00191E9A" w:rsidRPr="001633EE">
        <w:rPr>
          <w:rFonts w:ascii="Georgia" w:hAnsi="Georgia"/>
          <w:b/>
          <w:color w:val="C00000"/>
          <w:sz w:val="48"/>
          <w:szCs w:val="48"/>
        </w:rPr>
        <w:t>The Republic of the Rio Grande: A Hist</w:t>
      </w:r>
      <w:bookmarkStart w:id="0" w:name="_GoBack"/>
      <w:bookmarkEnd w:id="0"/>
      <w:r w:rsidR="00191E9A" w:rsidRPr="001633EE">
        <w:rPr>
          <w:rFonts w:ascii="Georgia" w:hAnsi="Georgia"/>
          <w:b/>
          <w:color w:val="C00000"/>
          <w:sz w:val="48"/>
          <w:szCs w:val="48"/>
        </w:rPr>
        <w:t>orical Orphan</w:t>
      </w:r>
      <w:r w:rsidRPr="001633EE">
        <w:rPr>
          <w:rFonts w:ascii="Georgia" w:hAnsi="Georgia"/>
          <w:b/>
          <w:color w:val="C00000"/>
          <w:sz w:val="48"/>
          <w:szCs w:val="48"/>
        </w:rPr>
        <w:t>”</w:t>
      </w: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3652"/>
      </w:tblGrid>
      <w:tr w:rsidR="00633B08">
        <w:tc>
          <w:tcPr>
            <w:tcW w:w="1496" w:type="dxa"/>
          </w:tcPr>
          <w:p w:rsidR="00633B08" w:rsidRDefault="00B54F10">
            <w:pPr>
              <w:suppressAutoHyphens/>
              <w:ind w:left="-309"/>
            </w:pPr>
            <w:r>
              <w:tab/>
            </w:r>
          </w:p>
          <w:p w:rsidR="00633B08" w:rsidRPr="001633EE" w:rsidRDefault="00B54F10">
            <w:pPr>
              <w:suppressAutoHyphens/>
              <w:ind w:left="266"/>
              <w:rPr>
                <w:b/>
                <w:color w:val="660033"/>
              </w:rPr>
            </w:pPr>
            <w:r w:rsidRPr="001633EE">
              <w:rPr>
                <w:b/>
                <w:color w:val="660033"/>
              </w:rPr>
              <w:t>What:</w:t>
            </w: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B54F10">
            <w:pPr>
              <w:suppressAutoHyphens/>
              <w:ind w:left="266"/>
              <w:rPr>
                <w:b/>
                <w:color w:val="660033"/>
              </w:rPr>
            </w:pPr>
            <w:r w:rsidRPr="001633EE">
              <w:rPr>
                <w:b/>
                <w:color w:val="660033"/>
              </w:rPr>
              <w:t>When:</w:t>
            </w:r>
          </w:p>
          <w:p w:rsidR="00633B08" w:rsidRPr="001633EE" w:rsidRDefault="00633B08">
            <w:pPr>
              <w:suppressAutoHyphens/>
              <w:ind w:left="266"/>
              <w:rPr>
                <w:b/>
                <w:color w:val="660033"/>
              </w:rPr>
            </w:pPr>
          </w:p>
          <w:p w:rsidR="003A4A08" w:rsidRDefault="003A4A08">
            <w:pPr>
              <w:suppressAutoHyphens/>
              <w:ind w:left="266"/>
              <w:rPr>
                <w:b/>
                <w:color w:val="660033"/>
              </w:rPr>
            </w:pPr>
          </w:p>
          <w:p w:rsidR="00633B08" w:rsidRPr="001633EE" w:rsidRDefault="00B54F10">
            <w:pPr>
              <w:suppressAutoHyphens/>
              <w:ind w:left="266"/>
              <w:rPr>
                <w:b/>
                <w:color w:val="660033"/>
              </w:rPr>
            </w:pPr>
            <w:r w:rsidRPr="001633EE">
              <w:rPr>
                <w:b/>
                <w:color w:val="660033"/>
              </w:rPr>
              <w:t>Where:</w:t>
            </w: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633B08">
            <w:pPr>
              <w:suppressAutoHyphens/>
              <w:ind w:left="266"/>
              <w:rPr>
                <w:b/>
                <w:color w:val="660033"/>
              </w:rPr>
            </w:pPr>
          </w:p>
          <w:p w:rsidR="00633B08" w:rsidRPr="001633EE" w:rsidRDefault="00B54F10">
            <w:pPr>
              <w:suppressAutoHyphens/>
              <w:ind w:left="266"/>
              <w:rPr>
                <w:b/>
                <w:color w:val="660033"/>
              </w:rPr>
            </w:pPr>
            <w:r w:rsidRPr="001633EE">
              <w:rPr>
                <w:b/>
                <w:color w:val="660033"/>
              </w:rPr>
              <w:t xml:space="preserve">Cost: </w:t>
            </w:r>
          </w:p>
          <w:p w:rsidR="00633B08" w:rsidRPr="001633EE" w:rsidRDefault="00633B08">
            <w:pPr>
              <w:suppressAutoHyphens/>
              <w:ind w:left="266"/>
              <w:rPr>
                <w:b/>
                <w:color w:val="660033"/>
              </w:rPr>
            </w:pPr>
          </w:p>
          <w:p w:rsidR="00633B08" w:rsidRDefault="00B54F10">
            <w:pPr>
              <w:suppressAutoHyphens/>
              <w:ind w:left="266"/>
              <w:rPr>
                <w:b/>
              </w:rPr>
            </w:pPr>
            <w:r w:rsidRPr="001633EE">
              <w:rPr>
                <w:b/>
                <w:color w:val="660033"/>
              </w:rPr>
              <w:t>Sponsor:</w:t>
            </w:r>
          </w:p>
        </w:tc>
        <w:tc>
          <w:tcPr>
            <w:tcW w:w="3652" w:type="dxa"/>
          </w:tcPr>
          <w:p w:rsidR="004E3B00" w:rsidRDefault="004E3B00">
            <w:pPr>
              <w:suppressAutoHyphens/>
            </w:pPr>
          </w:p>
          <w:p w:rsidR="00633B08" w:rsidRPr="001633EE" w:rsidRDefault="00B54F10">
            <w:pPr>
              <w:suppressAutoHyphens/>
            </w:pPr>
            <w:r w:rsidRPr="001633EE">
              <w:t>“</w:t>
            </w:r>
            <w:r w:rsidR="00FB37B8" w:rsidRPr="001633EE">
              <w:t xml:space="preserve">The Republic of the Rio Grande: A Historical Orphan” </w:t>
            </w:r>
            <w:r w:rsidRPr="001633EE">
              <w:t xml:space="preserve">— A lecture at the University of North Texas by Dr. </w:t>
            </w:r>
            <w:r w:rsidR="00FB37B8" w:rsidRPr="001633EE">
              <w:t xml:space="preserve">Beatriz de la Garza, </w:t>
            </w:r>
            <w:r w:rsidR="00F078D5">
              <w:t>w</w:t>
            </w:r>
            <w:r w:rsidR="00FB37B8" w:rsidRPr="001633EE">
              <w:t>riter, author, lawyer</w:t>
            </w:r>
            <w:r w:rsidR="00EA7277" w:rsidRPr="001633EE">
              <w:t>, elected public official</w:t>
            </w:r>
            <w:r w:rsidR="00FB37B8" w:rsidRPr="001633EE">
              <w:t xml:space="preserve"> and historian, Austin, Texas</w:t>
            </w:r>
            <w:r w:rsidRPr="001633EE">
              <w:t xml:space="preserve">. UNT’s </w:t>
            </w:r>
            <w:r w:rsidR="00FB37B8" w:rsidRPr="001633EE">
              <w:t>13</w:t>
            </w:r>
            <w:r w:rsidRPr="001633EE">
              <w:rPr>
                <w:vertAlign w:val="superscript"/>
              </w:rPr>
              <w:t>th</w:t>
            </w:r>
            <w:r w:rsidRPr="001633EE">
              <w:t xml:space="preserve"> Annual Commemorative Lecture in M</w:t>
            </w:r>
            <w:r w:rsidR="00FB37B8" w:rsidRPr="001633EE">
              <w:t>exican American History.</w:t>
            </w:r>
          </w:p>
          <w:p w:rsidR="00633B08" w:rsidRPr="001633EE" w:rsidRDefault="00633B08">
            <w:pPr>
              <w:suppressAutoHyphens/>
            </w:pPr>
          </w:p>
          <w:p w:rsidR="00EA7277" w:rsidRPr="001633EE" w:rsidRDefault="00EA7277" w:rsidP="00EA7277">
            <w:pPr>
              <w:suppressAutoHyphens/>
            </w:pPr>
            <w:r w:rsidRPr="001633EE">
              <w:t>February 6</w:t>
            </w:r>
            <w:r w:rsidR="003A4A08">
              <w:t>, 2014</w:t>
            </w:r>
            <w:r w:rsidRPr="001633EE">
              <w:t xml:space="preserve"> (Thursday), 4:30 p.m.</w:t>
            </w:r>
          </w:p>
          <w:p w:rsidR="00633B08" w:rsidRPr="001633EE" w:rsidRDefault="00633B08">
            <w:pPr>
              <w:suppressAutoHyphens/>
            </w:pPr>
          </w:p>
          <w:p w:rsidR="00EA7277" w:rsidRPr="001633EE" w:rsidRDefault="00EA7277" w:rsidP="00EA7277">
            <w:pPr>
              <w:suppressAutoHyphens/>
            </w:pPr>
            <w:r w:rsidRPr="001633EE">
              <w:t>Business Leadership Building, Room 80, University of North Texas campus</w:t>
            </w:r>
          </w:p>
          <w:p w:rsidR="00EA7277" w:rsidRPr="001633EE" w:rsidRDefault="00EA7277">
            <w:pPr>
              <w:suppressAutoHyphens/>
            </w:pPr>
          </w:p>
          <w:p w:rsidR="00FB37B8" w:rsidRPr="001633EE" w:rsidRDefault="00FB37B8">
            <w:pPr>
              <w:suppressAutoHyphens/>
            </w:pPr>
            <w:r w:rsidRPr="001633EE">
              <w:t>Free—Public Invited</w:t>
            </w:r>
          </w:p>
          <w:p w:rsidR="00FB37B8" w:rsidRPr="001633EE" w:rsidRDefault="00FB37B8">
            <w:pPr>
              <w:suppressAutoHyphens/>
            </w:pPr>
          </w:p>
          <w:p w:rsidR="00FB37B8" w:rsidRDefault="00FB37B8">
            <w:pPr>
              <w:suppressAutoHyphens/>
            </w:pPr>
            <w:r w:rsidRPr="001633EE">
              <w:t>Mexican American Studies Minor and the Department of History, College of Arts and Sciences (CAS)</w:t>
            </w:r>
          </w:p>
        </w:tc>
      </w:tr>
    </w:tbl>
    <w:p w:rsidR="00633B08" w:rsidRDefault="00633B08">
      <w:pPr>
        <w:ind w:left="-720"/>
        <w:rPr>
          <w:b/>
          <w:sz w:val="36"/>
          <w:szCs w:val="36"/>
        </w:rPr>
      </w:pPr>
    </w:p>
    <w:p w:rsidR="00633B08" w:rsidRDefault="00633B08"/>
    <w:p w:rsidR="00633B08" w:rsidRDefault="00633B08"/>
    <w:p w:rsidR="00191E9A" w:rsidRDefault="00191E9A" w:rsidP="00191E9A">
      <w:r>
        <w:rPr>
          <w:noProof/>
        </w:rPr>
        <w:drawing>
          <wp:inline distT="0" distB="0" distL="0" distR="0">
            <wp:extent cx="2800350" cy="4304539"/>
            <wp:effectExtent l="0" t="0" r="0" b="1270"/>
            <wp:docPr id="2" name="Picture 2" descr="From the Republic of the Ri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the Republic of the Rio Grand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708" cy="4305089"/>
                    </a:xfrm>
                    <a:prstGeom prst="rect">
                      <a:avLst/>
                    </a:prstGeom>
                    <a:noFill/>
                    <a:ln>
                      <a:noFill/>
                    </a:ln>
                  </pic:spPr>
                </pic:pic>
              </a:graphicData>
            </a:graphic>
          </wp:inline>
        </w:drawing>
      </w:r>
    </w:p>
    <w:p w:rsidR="00633B08" w:rsidRPr="001633EE" w:rsidRDefault="004E3B00">
      <w:pPr>
        <w:ind w:right="828"/>
        <w:jc w:val="both"/>
        <w:rPr>
          <w:rFonts w:ascii="Palatino" w:hAnsi="Palatino"/>
          <w:b/>
          <w:sz w:val="20"/>
          <w:szCs w:val="20"/>
        </w:rPr>
      </w:pPr>
      <w:r w:rsidRPr="00F078D5">
        <w:rPr>
          <w:rFonts w:ascii="Palatino" w:hAnsi="Palatino"/>
          <w:b/>
          <w:sz w:val="36"/>
          <w:szCs w:val="36"/>
        </w:rPr>
        <w:t>B</w:t>
      </w:r>
      <w:r w:rsidRPr="001633EE">
        <w:rPr>
          <w:rFonts w:ascii="Palatino" w:hAnsi="Palatino"/>
          <w:b/>
          <w:sz w:val="20"/>
          <w:szCs w:val="20"/>
        </w:rPr>
        <w:t xml:space="preserve">eatriz de la Garza is the author of </w:t>
      </w:r>
      <w:r w:rsidR="00085A8F" w:rsidRPr="00085A8F">
        <w:rPr>
          <w:rFonts w:ascii="Palatino" w:hAnsi="Palatino"/>
          <w:b/>
          <w:i/>
          <w:sz w:val="20"/>
          <w:szCs w:val="20"/>
        </w:rPr>
        <w:t>From t</w:t>
      </w:r>
      <w:r w:rsidRPr="00085A8F">
        <w:rPr>
          <w:rFonts w:ascii="Palatino" w:hAnsi="Palatino"/>
          <w:b/>
          <w:i/>
          <w:color w:val="002060"/>
          <w:sz w:val="20"/>
          <w:szCs w:val="20"/>
        </w:rPr>
        <w:t>he</w:t>
      </w:r>
      <w:r w:rsidRPr="001633EE">
        <w:rPr>
          <w:rFonts w:ascii="Palatino" w:hAnsi="Palatino"/>
          <w:b/>
          <w:i/>
          <w:color w:val="002060"/>
          <w:sz w:val="20"/>
          <w:szCs w:val="20"/>
        </w:rPr>
        <w:t xml:space="preserve"> Republic of the Rio Grande: A Personal History of the Place and the People</w:t>
      </w:r>
      <w:r w:rsidR="00A56029" w:rsidRPr="001633EE">
        <w:rPr>
          <w:rFonts w:ascii="Palatino" w:hAnsi="Palatino"/>
          <w:b/>
          <w:i/>
          <w:color w:val="002060"/>
          <w:sz w:val="20"/>
          <w:szCs w:val="20"/>
        </w:rPr>
        <w:t xml:space="preserve"> </w:t>
      </w:r>
      <w:r w:rsidR="00A56029" w:rsidRPr="001633EE">
        <w:rPr>
          <w:rFonts w:ascii="Palatino" w:hAnsi="Palatino"/>
          <w:b/>
          <w:sz w:val="20"/>
          <w:szCs w:val="20"/>
        </w:rPr>
        <w:t>(UT Press, 2013)</w:t>
      </w:r>
      <w:r w:rsidRPr="001633EE">
        <w:rPr>
          <w:rFonts w:ascii="Palatino" w:hAnsi="Palatino"/>
          <w:b/>
          <w:i/>
          <w:sz w:val="20"/>
          <w:szCs w:val="20"/>
        </w:rPr>
        <w:t xml:space="preserve">, </w:t>
      </w:r>
      <w:r w:rsidR="00B54F10" w:rsidRPr="001633EE">
        <w:rPr>
          <w:rFonts w:ascii="Palatino" w:hAnsi="Palatino"/>
          <w:b/>
          <w:sz w:val="20"/>
          <w:szCs w:val="20"/>
        </w:rPr>
        <w:t xml:space="preserve">which received the </w:t>
      </w:r>
      <w:r w:rsidR="00A56029" w:rsidRPr="001633EE">
        <w:rPr>
          <w:rFonts w:ascii="Palatino" w:hAnsi="Palatino"/>
          <w:b/>
          <w:sz w:val="20"/>
          <w:szCs w:val="20"/>
        </w:rPr>
        <w:t xml:space="preserve">Jim Parish Award </w:t>
      </w:r>
      <w:r w:rsidR="00B54F10" w:rsidRPr="001633EE">
        <w:rPr>
          <w:rFonts w:ascii="Palatino" w:hAnsi="Palatino"/>
          <w:b/>
          <w:sz w:val="20"/>
          <w:szCs w:val="20"/>
        </w:rPr>
        <w:t xml:space="preserve">from the </w:t>
      </w:r>
      <w:r w:rsidR="00A56029" w:rsidRPr="001633EE">
        <w:rPr>
          <w:rFonts w:ascii="Palatino" w:hAnsi="Palatino"/>
          <w:b/>
          <w:sz w:val="20"/>
          <w:szCs w:val="20"/>
        </w:rPr>
        <w:t xml:space="preserve">Webb County Heritage Foundation. UT Press also published her earlier history, </w:t>
      </w:r>
      <w:r w:rsidR="00A56029" w:rsidRPr="001633EE">
        <w:rPr>
          <w:rFonts w:ascii="Palatino" w:hAnsi="Palatino"/>
          <w:b/>
          <w:i/>
          <w:color w:val="002060"/>
          <w:sz w:val="20"/>
          <w:szCs w:val="20"/>
        </w:rPr>
        <w:t>A Law for the Lion: A Tale of Crime and Injustice in the Borderlands</w:t>
      </w:r>
      <w:r w:rsidR="00A56029" w:rsidRPr="001633EE">
        <w:rPr>
          <w:rFonts w:ascii="Palatino" w:hAnsi="Palatino"/>
          <w:b/>
          <w:color w:val="002060"/>
          <w:sz w:val="20"/>
          <w:szCs w:val="20"/>
        </w:rPr>
        <w:t xml:space="preserve"> </w:t>
      </w:r>
      <w:r w:rsidR="00A56029" w:rsidRPr="001633EE">
        <w:rPr>
          <w:rFonts w:ascii="Palatino" w:hAnsi="Palatino"/>
          <w:b/>
          <w:sz w:val="20"/>
          <w:szCs w:val="20"/>
        </w:rPr>
        <w:t xml:space="preserve">(2003). Her books include works of fiction for children and young adults published by Arte </w:t>
      </w:r>
      <w:proofErr w:type="spellStart"/>
      <w:r w:rsidR="00A56029" w:rsidRPr="001633EE">
        <w:rPr>
          <w:rFonts w:ascii="Palatino" w:hAnsi="Palatino"/>
          <w:b/>
          <w:sz w:val="20"/>
          <w:szCs w:val="20"/>
        </w:rPr>
        <w:t>Público</w:t>
      </w:r>
      <w:proofErr w:type="spellEnd"/>
      <w:r w:rsidR="00A56029" w:rsidRPr="001633EE">
        <w:rPr>
          <w:rFonts w:ascii="Palatino" w:hAnsi="Palatino"/>
          <w:b/>
          <w:sz w:val="20"/>
          <w:szCs w:val="20"/>
        </w:rPr>
        <w:t xml:space="preserve"> Press, </w:t>
      </w:r>
      <w:r w:rsidR="00A56029" w:rsidRPr="001633EE">
        <w:rPr>
          <w:rFonts w:ascii="Palatino" w:hAnsi="Palatino"/>
          <w:b/>
          <w:i/>
          <w:color w:val="002060"/>
          <w:sz w:val="20"/>
          <w:szCs w:val="20"/>
        </w:rPr>
        <w:t>The Candy Vendor’s Boy and Other Stories</w:t>
      </w:r>
      <w:r w:rsidR="00A56029" w:rsidRPr="001633EE">
        <w:rPr>
          <w:rFonts w:ascii="Palatino" w:hAnsi="Palatino"/>
          <w:b/>
          <w:color w:val="002060"/>
          <w:sz w:val="20"/>
          <w:szCs w:val="20"/>
        </w:rPr>
        <w:t xml:space="preserve"> </w:t>
      </w:r>
      <w:r w:rsidR="00A56029" w:rsidRPr="001633EE">
        <w:rPr>
          <w:rFonts w:ascii="Palatino" w:hAnsi="Palatino"/>
          <w:b/>
          <w:sz w:val="20"/>
          <w:szCs w:val="20"/>
        </w:rPr>
        <w:t xml:space="preserve">(1994) and </w:t>
      </w:r>
      <w:r w:rsidR="00A56029" w:rsidRPr="001633EE">
        <w:rPr>
          <w:rFonts w:ascii="Palatino" w:hAnsi="Palatino"/>
          <w:b/>
          <w:i/>
          <w:color w:val="002060"/>
          <w:sz w:val="20"/>
          <w:szCs w:val="20"/>
        </w:rPr>
        <w:t>Pillars of Gold and Silver</w:t>
      </w:r>
      <w:r w:rsidR="00A56029" w:rsidRPr="001633EE">
        <w:rPr>
          <w:rFonts w:ascii="Palatino" w:hAnsi="Palatino"/>
          <w:b/>
          <w:color w:val="002060"/>
          <w:sz w:val="20"/>
          <w:szCs w:val="20"/>
        </w:rPr>
        <w:t xml:space="preserve"> </w:t>
      </w:r>
      <w:r w:rsidR="00A56029" w:rsidRPr="001633EE">
        <w:rPr>
          <w:rFonts w:ascii="Palatino" w:hAnsi="Palatino"/>
          <w:b/>
          <w:sz w:val="20"/>
          <w:szCs w:val="20"/>
        </w:rPr>
        <w:t>(1997).</w:t>
      </w:r>
    </w:p>
    <w:p w:rsidR="00633B08" w:rsidRPr="001633EE" w:rsidRDefault="00633B08">
      <w:pPr>
        <w:ind w:right="828" w:firstLine="86"/>
        <w:jc w:val="both"/>
        <w:rPr>
          <w:rFonts w:ascii="Palatino" w:hAnsi="Palatino"/>
          <w:b/>
          <w:sz w:val="20"/>
          <w:szCs w:val="20"/>
        </w:rPr>
      </w:pPr>
    </w:p>
    <w:p w:rsidR="00633B08" w:rsidRPr="001633EE" w:rsidRDefault="000361A9" w:rsidP="00EA7277">
      <w:pPr>
        <w:ind w:right="828"/>
        <w:jc w:val="both"/>
        <w:rPr>
          <w:rFonts w:ascii="Palatino" w:hAnsi="Palatino"/>
          <w:b/>
          <w:sz w:val="20"/>
          <w:szCs w:val="20"/>
        </w:rPr>
      </w:pPr>
      <w:r w:rsidRPr="001633EE">
        <w:rPr>
          <w:rFonts w:ascii="Palatino" w:hAnsi="Palatino"/>
          <w:b/>
          <w:sz w:val="20"/>
          <w:szCs w:val="20"/>
        </w:rPr>
        <w:t xml:space="preserve">Dr. de la Garza holds four degrees </w:t>
      </w:r>
      <w:r w:rsidR="00EA7277" w:rsidRPr="001633EE">
        <w:rPr>
          <w:rFonts w:ascii="Palatino" w:hAnsi="Palatino"/>
          <w:b/>
          <w:sz w:val="20"/>
          <w:szCs w:val="20"/>
        </w:rPr>
        <w:t>from</w:t>
      </w:r>
      <w:r w:rsidRPr="001633EE">
        <w:rPr>
          <w:rFonts w:ascii="Palatino" w:hAnsi="Palatino"/>
          <w:b/>
          <w:sz w:val="20"/>
          <w:szCs w:val="20"/>
        </w:rPr>
        <w:t xml:space="preserve"> the University of Texas at Austin including her B.A., M.A., Ph.D., and J.D. She’s been a practicing attorney in Austin, Texas for many years.</w:t>
      </w:r>
      <w:r w:rsidR="00EA7277" w:rsidRPr="001633EE">
        <w:rPr>
          <w:rFonts w:ascii="Palatino" w:hAnsi="Palatino"/>
          <w:b/>
          <w:sz w:val="20"/>
          <w:szCs w:val="20"/>
        </w:rPr>
        <w:t xml:space="preserve"> She’s also been an elected public official. In 1988 she was elected to her first of three terms to the Austin Independent School District (AISD) Board.  She served on the AISD School Board from 1988-1994, and during her final term (1992-1994) she served as Board President. This made her the first Mexican American woman (and Latina) ever to hold this elected position in the history of the Texas state capital’s public school district.  Dr. de la Garza has also held several visiting professorships in Spanish Language and Literature and Legal Principles for Legal Assistants at her alma mater, the University of Texas at Austin, Austin Community College, and Texas State University in San Marcos.</w:t>
      </w:r>
    </w:p>
    <w:p w:rsidR="00EA7277" w:rsidRPr="001633EE" w:rsidRDefault="00EA7277" w:rsidP="00EA7277">
      <w:pPr>
        <w:ind w:right="828"/>
        <w:jc w:val="both"/>
        <w:rPr>
          <w:rFonts w:ascii="Palatino" w:hAnsi="Palatino"/>
          <w:b/>
          <w:sz w:val="20"/>
          <w:szCs w:val="20"/>
        </w:rPr>
      </w:pPr>
    </w:p>
    <w:p w:rsidR="00633B08" w:rsidRPr="001633EE" w:rsidRDefault="00EA7277" w:rsidP="00EA7277">
      <w:pPr>
        <w:pStyle w:val="BodyTextIndent"/>
        <w:spacing w:line="240" w:lineRule="auto"/>
        <w:ind w:left="0" w:right="828" w:firstLine="0"/>
        <w:jc w:val="both"/>
        <w:rPr>
          <w:rFonts w:ascii="Palatino" w:hAnsi="Palatino"/>
          <w:b/>
          <w:szCs w:val="20"/>
        </w:rPr>
      </w:pPr>
      <w:r w:rsidRPr="001633EE">
        <w:rPr>
          <w:rFonts w:ascii="Palatino" w:hAnsi="Palatino"/>
          <w:b/>
          <w:szCs w:val="20"/>
        </w:rPr>
        <w:t>Born in Ciudad Guerrero, Tamaulipas, otherwise known as Old Revilla, she grew up and attended school in Laredo, Texas.</w:t>
      </w:r>
    </w:p>
    <w:sectPr w:rsidR="00633B08" w:rsidRPr="001633EE" w:rsidSect="00E36B3E">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compat/>
  <w:rsids>
    <w:rsidRoot w:val="00B54F10"/>
    <w:rsid w:val="000361A9"/>
    <w:rsid w:val="00085A8F"/>
    <w:rsid w:val="00136ABC"/>
    <w:rsid w:val="001633EE"/>
    <w:rsid w:val="00191E9A"/>
    <w:rsid w:val="00271942"/>
    <w:rsid w:val="003948F8"/>
    <w:rsid w:val="003A4A08"/>
    <w:rsid w:val="004E3B00"/>
    <w:rsid w:val="00633B08"/>
    <w:rsid w:val="008F3903"/>
    <w:rsid w:val="009851D9"/>
    <w:rsid w:val="00A56029"/>
    <w:rsid w:val="00B54F10"/>
    <w:rsid w:val="00E36B3E"/>
    <w:rsid w:val="00EA7277"/>
    <w:rsid w:val="00F078D5"/>
    <w:rsid w:val="00FB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7cf8b,#ffc,#ff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36B3E"/>
    <w:pPr>
      <w:spacing w:line="360" w:lineRule="auto"/>
      <w:ind w:left="-630" w:firstLine="720"/>
    </w:pPr>
    <w:rPr>
      <w:sz w:val="20"/>
    </w:rPr>
  </w:style>
  <w:style w:type="paragraph" w:styleId="BodyTextIndent2">
    <w:name w:val="Body Text Indent 2"/>
    <w:basedOn w:val="Normal"/>
    <w:semiHidden/>
    <w:rsid w:val="00E36B3E"/>
    <w:pPr>
      <w:ind w:left="-630" w:firstLine="720"/>
    </w:pPr>
    <w:rPr>
      <w:sz w:val="18"/>
    </w:rPr>
  </w:style>
  <w:style w:type="paragraph" w:styleId="BodyTextIndent3">
    <w:name w:val="Body Text Indent 3"/>
    <w:basedOn w:val="Normal"/>
    <w:semiHidden/>
    <w:rsid w:val="00E36B3E"/>
    <w:pPr>
      <w:ind w:left="-720" w:firstLine="720"/>
      <w:jc w:val="both"/>
    </w:pPr>
    <w:rPr>
      <w:sz w:val="20"/>
    </w:rPr>
  </w:style>
  <w:style w:type="paragraph" w:styleId="BlockText">
    <w:name w:val="Block Text"/>
    <w:basedOn w:val="Normal"/>
    <w:semiHidden/>
    <w:rsid w:val="00E36B3E"/>
    <w:pPr>
      <w:ind w:left="-180" w:right="828" w:firstLine="266"/>
    </w:pPr>
    <w:rPr>
      <w:sz w:val="22"/>
    </w:rPr>
  </w:style>
  <w:style w:type="paragraph" w:styleId="BalloonText">
    <w:name w:val="Balloon Text"/>
    <w:basedOn w:val="Normal"/>
    <w:link w:val="BalloonTextChar"/>
    <w:uiPriority w:val="99"/>
    <w:semiHidden/>
    <w:unhideWhenUsed/>
    <w:rsid w:val="00B54F10"/>
    <w:rPr>
      <w:rFonts w:ascii="Tahoma" w:hAnsi="Tahoma" w:cs="Tahoma"/>
      <w:sz w:val="16"/>
      <w:szCs w:val="16"/>
    </w:rPr>
  </w:style>
  <w:style w:type="character" w:customStyle="1" w:styleId="BalloonTextChar">
    <w:name w:val="Balloon Text Char"/>
    <w:basedOn w:val="DefaultParagraphFont"/>
    <w:link w:val="BalloonText"/>
    <w:uiPriority w:val="99"/>
    <w:semiHidden/>
    <w:rsid w:val="00B54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630" w:firstLine="720"/>
    </w:pPr>
    <w:rPr>
      <w:sz w:val="20"/>
    </w:rPr>
  </w:style>
  <w:style w:type="paragraph" w:styleId="BodyTextIndent2">
    <w:name w:val="Body Text Indent 2"/>
    <w:basedOn w:val="Normal"/>
    <w:semiHidden/>
    <w:pPr>
      <w:ind w:left="-630" w:firstLine="720"/>
    </w:pPr>
    <w:rPr>
      <w:sz w:val="18"/>
    </w:rPr>
  </w:style>
  <w:style w:type="paragraph" w:styleId="BodyTextIndent3">
    <w:name w:val="Body Text Indent 3"/>
    <w:basedOn w:val="Normal"/>
    <w:semiHidden/>
    <w:pPr>
      <w:ind w:left="-720" w:firstLine="720"/>
      <w:jc w:val="both"/>
    </w:pPr>
    <w:rPr>
      <w:sz w:val="20"/>
    </w:rPr>
  </w:style>
  <w:style w:type="paragraph" w:styleId="BlockText">
    <w:name w:val="Block Text"/>
    <w:basedOn w:val="Normal"/>
    <w:semiHidden/>
    <w:pPr>
      <w:ind w:left="-180" w:right="828" w:firstLine="266"/>
    </w:pPr>
    <w:rPr>
      <w:sz w:val="22"/>
    </w:rPr>
  </w:style>
  <w:style w:type="paragraph" w:styleId="BalloonText">
    <w:name w:val="Balloon Text"/>
    <w:basedOn w:val="Normal"/>
    <w:link w:val="BalloonTextChar"/>
    <w:uiPriority w:val="99"/>
    <w:semiHidden/>
    <w:unhideWhenUsed/>
    <w:rsid w:val="00B54F10"/>
    <w:rPr>
      <w:rFonts w:ascii="Tahoma" w:hAnsi="Tahoma" w:cs="Tahoma"/>
      <w:sz w:val="16"/>
      <w:szCs w:val="16"/>
    </w:rPr>
  </w:style>
  <w:style w:type="character" w:customStyle="1" w:styleId="BalloonTextChar">
    <w:name w:val="Balloon Text Char"/>
    <w:basedOn w:val="DefaultParagraphFont"/>
    <w:link w:val="BalloonText"/>
    <w:uiPriority w:val="99"/>
    <w:semiHidden/>
    <w:rsid w:val="00B54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853153">
      <w:bodyDiv w:val="1"/>
      <w:marLeft w:val="0"/>
      <w:marRight w:val="0"/>
      <w:marTop w:val="0"/>
      <w:marBottom w:val="0"/>
      <w:divBdr>
        <w:top w:val="none" w:sz="0" w:space="0" w:color="auto"/>
        <w:left w:val="none" w:sz="0" w:space="0" w:color="auto"/>
        <w:bottom w:val="none" w:sz="0" w:space="0" w:color="auto"/>
        <w:right w:val="none" w:sz="0" w:space="0" w:color="auto"/>
      </w:divBdr>
      <w:divsChild>
        <w:div w:id="44246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Lecturer at UNT to discuss Mexican immigration</vt:lpstr>
    </vt:vector>
  </TitlesOfParts>
  <Company>University of North Texas</Company>
  <LinksUpToDate>false</LinksUpToDate>
  <CharactersWithSpaces>2204</CharactersWithSpaces>
  <SharedDoc>false</SharedDoc>
  <HLinks>
    <vt:vector size="6" baseType="variant">
      <vt:variant>
        <vt:i4>7143521</vt:i4>
      </vt:variant>
      <vt:variant>
        <vt:i4>1898</vt:i4>
      </vt:variant>
      <vt:variant>
        <vt:i4>1025</vt:i4>
      </vt:variant>
      <vt:variant>
        <vt:i4>1</vt:i4>
      </vt:variant>
      <vt:variant>
        <vt:lpwstr>C:\Documents and Settings\knelson\Desktop\anglos.jpg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at UNT to discuss Mexican immigration</dc:title>
  <dc:creator>katherine j nelson</dc:creator>
  <cp:lastModifiedBy>FirstName LastName</cp:lastModifiedBy>
  <cp:revision>2</cp:revision>
  <cp:lastPrinted>2014-01-16T23:17:00Z</cp:lastPrinted>
  <dcterms:created xsi:type="dcterms:W3CDTF">2014-01-18T14:31:00Z</dcterms:created>
  <dcterms:modified xsi:type="dcterms:W3CDTF">2014-01-18T14:31:00Z</dcterms:modified>
</cp:coreProperties>
</file>